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Marketing Policy for Events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Iliff School of Theology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dmpq7dnx5wfa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outlines the criteria under which events are eligible for promotion through Iliff's official marketing and communication channels. 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ml0jtdof9tow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Eligibility for Marketing Support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  <w:t xml:space="preserve">Events will be considered for promotion through Iliff’s official channels—including the website, social media, newsletters, and campus digital signage—</w:t>
      </w:r>
      <w:r w:rsidDel="00000000" w:rsidR="00000000" w:rsidRPr="00000000">
        <w:rPr>
          <w:b w:val="1"/>
          <w:rtl w:val="0"/>
        </w:rPr>
        <w:t xml:space="preserve">only if they involve authorization from the Office of the President, Office of the Dean, or Institutional Advancement.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Iliff may choose to publicize an event if the following criteria are satisfied: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Strategic Alignment:</w:t>
      </w:r>
      <w:r w:rsidDel="00000000" w:rsidR="00000000" w:rsidRPr="00000000">
        <w:rPr>
          <w:color w:val="222222"/>
          <w:rtl w:val="0"/>
        </w:rPr>
        <w:t xml:space="preserve"> The event directly supports a core Iliff mission, a key institutional initiative, or an academic program's defined goals.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Programmatic Development:</w:t>
      </w:r>
      <w:r w:rsidDel="00000000" w:rsidR="00000000" w:rsidRPr="00000000">
        <w:rPr>
          <w:color w:val="222222"/>
          <w:rtl w:val="0"/>
        </w:rPr>
        <w:t xml:space="preserve"> An authorized Iliff department or office played a direct role in conceiving, planning, or shaping the event's content.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Intellectual Contribution:</w:t>
      </w:r>
      <w:r w:rsidDel="00000000" w:rsidR="00000000" w:rsidRPr="00000000">
        <w:rPr>
          <w:color w:val="222222"/>
          <w:rtl w:val="0"/>
        </w:rPr>
        <w:t xml:space="preserve"> If applicable, keynote speakers, lead presenters, or significant panelists are representing Iliff in their official capacity as faculty, staff, or Iliff-commissioned scholars.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8r9p4ty1lw0l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Ineligible Events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Events that merely use Iliff facilities without meeting the above criteria will not be promoted through Iliff marketing channels. External rentals, private functions, and third-party events fall outside this scope unless a </w:t>
      </w:r>
      <w:r w:rsidDel="00000000" w:rsidR="00000000" w:rsidRPr="00000000">
        <w:rPr>
          <w:u w:val="single"/>
          <w:rtl w:val="0"/>
        </w:rPr>
        <w:t xml:space="preserve">sponsorship agreement</w:t>
      </w:r>
      <w:r w:rsidDel="00000000" w:rsidR="00000000" w:rsidRPr="00000000">
        <w:rPr>
          <w:rtl w:val="0"/>
        </w:rPr>
        <w:t xml:space="preserve"> exists and they have </w:t>
      </w:r>
      <w:r w:rsidDel="00000000" w:rsidR="00000000" w:rsidRPr="00000000">
        <w:rPr>
          <w:rtl w:val="0"/>
        </w:rPr>
        <w:t xml:space="preserve">authorization from the Office of the President, Office of the Dean, or Institutional Advancement.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xclg2md9v3r7" w:id="3"/>
      <w:bookmarkEnd w:id="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Marketing Requests and Approvals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Requests for marketing support must be submitted via this request form to the Office of Marketing &amp; Media no less than </w:t>
      </w:r>
      <w:r w:rsidDel="00000000" w:rsidR="00000000" w:rsidRPr="00000000">
        <w:rPr>
          <w:b w:val="1"/>
          <w:rtl w:val="0"/>
        </w:rPr>
        <w:t xml:space="preserve">three weeks</w:t>
      </w:r>
      <w:r w:rsidDel="00000000" w:rsidR="00000000" w:rsidRPr="00000000">
        <w:rPr>
          <w:rtl w:val="0"/>
        </w:rPr>
        <w:t xml:space="preserve"> prior to the event date. Approval will be based on alignment with the policy criteria and overall communication priorities.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m8xnyys5gei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Exceptions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exceptions to this policy must be approved by a member of Senior Leadership in consultation with the Office of Marketing &amp; Media.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